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A38"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Тема 2.</w:t>
      </w:r>
      <w:r>
        <w:rPr>
          <w:rFonts w:ascii="Times New Roman" w:hAnsi="Times New Roman"/>
          <w:b/>
          <w:bCs/>
          <w:color w:val="000000"/>
          <w:sz w:val="24"/>
          <w:szCs w:val="24"/>
          <w:lang w:eastAsia="ru-RU"/>
        </w:rPr>
        <w:t xml:space="preserve"> </w:t>
      </w:r>
      <w:r w:rsidRPr="002F6264">
        <w:rPr>
          <w:rFonts w:ascii="Times New Roman" w:hAnsi="Times New Roman"/>
          <w:b/>
          <w:bCs/>
          <w:color w:val="000000"/>
          <w:sz w:val="24"/>
          <w:szCs w:val="24"/>
          <w:lang w:eastAsia="ru-RU"/>
        </w:rPr>
        <w:t>ГРУЗЫ И ТРАНСПОРТНОЕ ОБОРУДОВАНИЕ</w:t>
      </w:r>
    </w:p>
    <w:p w:rsidR="00D85A38" w:rsidRPr="002F6264" w:rsidRDefault="00D85A38" w:rsidP="00D85A38">
      <w:pPr>
        <w:spacing w:after="0" w:line="240" w:lineRule="auto"/>
        <w:ind w:right="-5" w:firstLine="720"/>
        <w:jc w:val="both"/>
        <w:rPr>
          <w:rFonts w:ascii="Times New Roman" w:hAnsi="Times New Roman"/>
          <w:b/>
          <w:bCs/>
          <w:i/>
          <w:iCs/>
          <w:color w:val="000000"/>
          <w:sz w:val="24"/>
          <w:szCs w:val="24"/>
          <w:lang w:eastAsia="ru-RU"/>
        </w:rPr>
      </w:pPr>
      <w:r w:rsidRPr="002F6264">
        <w:rPr>
          <w:rFonts w:ascii="Times New Roman" w:hAnsi="Times New Roman"/>
          <w:b/>
          <w:bCs/>
          <w:i/>
          <w:iCs/>
          <w:color w:val="000000"/>
          <w:sz w:val="24"/>
          <w:szCs w:val="24"/>
          <w:lang w:eastAsia="ru-RU"/>
        </w:rPr>
        <w:t>План лекции:</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2.1. Классификация грузов, перевозимых автотранспортом</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2.2. Виды транспортной тары и ее назначение</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2.3. Правила маркировки грузов</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2.1. Грузы и их классификация.</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Все предметы и материалы с момента принятия их к транспортировке и до сдачи получателю являются</w:t>
      </w:r>
      <w:r w:rsidRPr="002F6264">
        <w:rPr>
          <w:rFonts w:ascii="Times New Roman" w:hAnsi="Times New Roman"/>
          <w:color w:val="000000"/>
          <w:sz w:val="24"/>
          <w:szCs w:val="24"/>
          <w:lang w:eastAsia="ru-RU"/>
        </w:rPr>
        <w:t> </w:t>
      </w:r>
      <w:r w:rsidRPr="002F6264">
        <w:rPr>
          <w:rFonts w:ascii="Times New Roman" w:hAnsi="Times New Roman"/>
          <w:b/>
          <w:bCs/>
          <w:i/>
          <w:iCs/>
          <w:color w:val="000000"/>
          <w:sz w:val="24"/>
          <w:szCs w:val="24"/>
          <w:lang w:eastAsia="ru-RU"/>
        </w:rPr>
        <w:t xml:space="preserve">грузами. </w:t>
      </w:r>
      <w:r w:rsidRPr="002F6264">
        <w:rPr>
          <w:rFonts w:ascii="Times New Roman" w:hAnsi="Times New Roman"/>
          <w:color w:val="000000"/>
          <w:sz w:val="24"/>
          <w:szCs w:val="24"/>
          <w:shd w:val="clear" w:color="auto" w:fill="FFFFFF"/>
          <w:lang w:eastAsia="ru-RU"/>
        </w:rPr>
        <w:t xml:space="preserve">На АТ перевозиться практически вся номенклатура существующих грузов. От вида груза в значительной степени зависит тип используемого для перевозок ПС, погрузочно-разгрузочных машин или механизмов (ПРМ) и технология перевозок. На рисунке 2.1. представлена транспортная классификация грузов и их влияние на тип </w:t>
      </w:r>
      <w:proofErr w:type="gramStart"/>
      <w:r w:rsidRPr="002F6264">
        <w:rPr>
          <w:rFonts w:ascii="Times New Roman" w:hAnsi="Times New Roman"/>
          <w:color w:val="000000"/>
          <w:sz w:val="24"/>
          <w:szCs w:val="24"/>
          <w:shd w:val="clear" w:color="auto" w:fill="FFFFFF"/>
          <w:lang w:eastAsia="ru-RU"/>
        </w:rPr>
        <w:t>используемого</w:t>
      </w:r>
      <w:proofErr w:type="gramEnd"/>
      <w:r w:rsidRPr="002F6264">
        <w:rPr>
          <w:rFonts w:ascii="Times New Roman" w:hAnsi="Times New Roman"/>
          <w:color w:val="000000"/>
          <w:sz w:val="24"/>
          <w:szCs w:val="24"/>
          <w:shd w:val="clear" w:color="auto" w:fill="FFFFFF"/>
          <w:lang w:eastAsia="ru-RU"/>
        </w:rPr>
        <w:t xml:space="preserve"> для перевозок ПС.</w:t>
      </w:r>
    </w:p>
    <w:p w:rsidR="00D85A38" w:rsidRPr="002F6264" w:rsidRDefault="00D85A38" w:rsidP="00D85A38">
      <w:pPr>
        <w:spacing w:after="0" w:line="240" w:lineRule="auto"/>
        <w:ind w:right="-5" w:firstLine="720"/>
        <w:jc w:val="both"/>
        <w:rPr>
          <w:rFonts w:ascii="Times New Roman" w:hAnsi="Times New Roman"/>
          <w:i/>
          <w:iCs/>
          <w:color w:val="000000"/>
          <w:sz w:val="24"/>
          <w:szCs w:val="24"/>
          <w:lang w:eastAsia="ru-RU"/>
        </w:rPr>
      </w:pPr>
      <w:r w:rsidRPr="002F6264">
        <w:rPr>
          <w:rFonts w:ascii="Times New Roman" w:hAnsi="Times New Roman"/>
          <w:color w:val="000000"/>
          <w:sz w:val="24"/>
          <w:szCs w:val="24"/>
          <w:shd w:val="clear" w:color="auto" w:fill="FFFFFF"/>
          <w:lang w:eastAsia="ru-RU"/>
        </w:rPr>
        <w:t>В зависимости от наличия упаковки грузы бывают</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бестарные </w:t>
      </w:r>
      <w:r w:rsidRPr="002F6264">
        <w:rPr>
          <w:rFonts w:ascii="Times New Roman" w:hAnsi="Times New Roman"/>
          <w:color w:val="000000"/>
          <w:sz w:val="24"/>
          <w:szCs w:val="24"/>
          <w:shd w:val="clear" w:color="auto" w:fill="FFFFFF"/>
          <w:lang w:eastAsia="ru-RU"/>
        </w:rPr>
        <w:t>и</w:t>
      </w:r>
      <w:r w:rsidRPr="002F6264">
        <w:rPr>
          <w:rFonts w:ascii="Times New Roman" w:hAnsi="Times New Roman"/>
          <w:i/>
          <w:iCs/>
          <w:color w:val="000000"/>
          <w:sz w:val="24"/>
          <w:szCs w:val="24"/>
          <w:lang w:eastAsia="ru-RU"/>
        </w:rPr>
        <w:t> тарные.</w:t>
      </w:r>
    </w:p>
    <w:p w:rsidR="00D85A38" w:rsidRPr="002F6264" w:rsidRDefault="00D85A38" w:rsidP="00D85A38">
      <w:pPr>
        <w:spacing w:after="0" w:line="240" w:lineRule="auto"/>
        <w:ind w:right="-5" w:firstLine="720"/>
        <w:jc w:val="both"/>
        <w:rPr>
          <w:rFonts w:ascii="Times New Roman" w:hAnsi="Times New Roman"/>
          <w:i/>
          <w:iCs/>
          <w:color w:val="000000"/>
          <w:sz w:val="24"/>
          <w:szCs w:val="24"/>
          <w:lang w:eastAsia="ru-RU"/>
        </w:rPr>
      </w:pPr>
      <w:r w:rsidRPr="002F6264">
        <w:rPr>
          <w:rFonts w:ascii="Times New Roman" w:hAnsi="Times New Roman"/>
          <w:color w:val="000000"/>
          <w:sz w:val="24"/>
          <w:szCs w:val="24"/>
          <w:shd w:val="clear" w:color="auto" w:fill="FFFFFF"/>
          <w:lang w:eastAsia="ru-RU"/>
        </w:rPr>
        <w:t>Грузы, которые могут перекатываться, называются</w:t>
      </w:r>
      <w:r w:rsidRPr="002F6264">
        <w:rPr>
          <w:rFonts w:ascii="Times New Roman" w:hAnsi="Times New Roman"/>
          <w:color w:val="000000"/>
          <w:sz w:val="24"/>
          <w:szCs w:val="24"/>
          <w:lang w:eastAsia="ru-RU"/>
        </w:rPr>
        <w:t> </w:t>
      </w:r>
      <w:proofErr w:type="spellStart"/>
      <w:r w:rsidRPr="002F6264">
        <w:rPr>
          <w:rFonts w:ascii="Times New Roman" w:hAnsi="Times New Roman"/>
          <w:i/>
          <w:iCs/>
          <w:color w:val="000000"/>
          <w:sz w:val="24"/>
          <w:szCs w:val="24"/>
          <w:lang w:eastAsia="ru-RU"/>
        </w:rPr>
        <w:t>катными</w:t>
      </w:r>
      <w:proofErr w:type="spellEnd"/>
      <w:r w:rsidRPr="002F6264">
        <w:rPr>
          <w:rFonts w:ascii="Times New Roman" w:hAnsi="Times New Roman"/>
          <w:i/>
          <w:iCs/>
          <w:color w:val="000000"/>
          <w:sz w:val="24"/>
          <w:szCs w:val="24"/>
          <w:lang w:eastAsia="ru-RU"/>
        </w:rPr>
        <w:t>.</w:t>
      </w:r>
    </w:p>
    <w:p w:rsidR="00D85A38" w:rsidRPr="002F6264" w:rsidRDefault="00D85A38" w:rsidP="00D85A38">
      <w:pPr>
        <w:spacing w:after="0" w:line="240" w:lineRule="auto"/>
        <w:ind w:right="-5" w:firstLine="720"/>
        <w:jc w:val="both"/>
        <w:rPr>
          <w:rFonts w:ascii="Times New Roman" w:hAnsi="Times New Roman"/>
          <w:sz w:val="24"/>
          <w:szCs w:val="24"/>
          <w:lang w:eastAsia="ru-RU"/>
        </w:rPr>
      </w:pPr>
      <w:r w:rsidRPr="002F6264">
        <w:rPr>
          <w:rFonts w:ascii="Times New Roman" w:hAnsi="Times New Roman"/>
          <w:color w:val="000000"/>
          <w:sz w:val="24"/>
          <w:szCs w:val="24"/>
          <w:shd w:val="clear" w:color="auto" w:fill="FFFFFF"/>
          <w:lang w:eastAsia="ru-RU"/>
        </w:rPr>
        <w:t>По степени опасности грузы делятся на следующие группы:</w:t>
      </w:r>
    </w:p>
    <w:p w:rsidR="00D85A38" w:rsidRPr="002F6264" w:rsidRDefault="00D85A38" w:rsidP="003A4D1D">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i/>
          <w:iCs/>
          <w:color w:val="000000"/>
          <w:sz w:val="24"/>
          <w:szCs w:val="24"/>
          <w:lang w:eastAsia="ru-RU"/>
        </w:rPr>
        <w:t>малоопасные </w:t>
      </w:r>
      <w:r w:rsidRPr="002F6264">
        <w:rPr>
          <w:rFonts w:ascii="Times New Roman" w:hAnsi="Times New Roman"/>
          <w:color w:val="000000"/>
          <w:sz w:val="24"/>
          <w:szCs w:val="24"/>
          <w:lang w:eastAsia="ru-RU"/>
        </w:rPr>
        <w:t>(стройматериалы, пищевые продукты и т.п.);</w:t>
      </w:r>
    </w:p>
    <w:p w:rsidR="00D85A38" w:rsidRPr="002F6264" w:rsidRDefault="00D85A38" w:rsidP="003A4D1D">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proofErr w:type="gramStart"/>
      <w:r w:rsidRPr="002F6264">
        <w:rPr>
          <w:rFonts w:ascii="Times New Roman" w:hAnsi="Times New Roman"/>
          <w:i/>
          <w:iCs/>
          <w:color w:val="000000"/>
          <w:sz w:val="24"/>
          <w:szCs w:val="24"/>
          <w:lang w:eastAsia="ru-RU"/>
        </w:rPr>
        <w:t>опасные</w:t>
      </w:r>
      <w:proofErr w:type="gramEnd"/>
      <w:r w:rsidRPr="002F6264">
        <w:rPr>
          <w:rFonts w:ascii="Times New Roman" w:hAnsi="Times New Roman"/>
          <w:i/>
          <w:iCs/>
          <w:color w:val="000000"/>
          <w:sz w:val="24"/>
          <w:szCs w:val="24"/>
          <w:lang w:eastAsia="ru-RU"/>
        </w:rPr>
        <w:t xml:space="preserve"> по своим размерам</w:t>
      </w:r>
      <w:r w:rsidRPr="002F6264">
        <w:rPr>
          <w:rFonts w:ascii="Times New Roman" w:hAnsi="Times New Roman"/>
          <w:color w:val="000000"/>
          <w:sz w:val="24"/>
          <w:szCs w:val="24"/>
          <w:lang w:eastAsia="ru-RU"/>
        </w:rPr>
        <w:t> (длинномерные и крупногабаритные);</w:t>
      </w:r>
    </w:p>
    <w:p w:rsidR="00D85A38" w:rsidRPr="002F6264" w:rsidRDefault="00D85A38" w:rsidP="003A4D1D">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i/>
          <w:iCs/>
          <w:color w:val="000000"/>
          <w:sz w:val="24"/>
          <w:szCs w:val="24"/>
          <w:lang w:eastAsia="ru-RU"/>
        </w:rPr>
        <w:t>пылящие</w:t>
      </w:r>
      <w:r w:rsidRPr="002F6264">
        <w:rPr>
          <w:rFonts w:ascii="Times New Roman" w:hAnsi="Times New Roman"/>
          <w:color w:val="000000"/>
          <w:sz w:val="24"/>
          <w:szCs w:val="24"/>
          <w:lang w:eastAsia="ru-RU"/>
        </w:rPr>
        <w:t> или </w:t>
      </w:r>
      <w:r w:rsidRPr="002F6264">
        <w:rPr>
          <w:rFonts w:ascii="Times New Roman" w:hAnsi="Times New Roman"/>
          <w:i/>
          <w:iCs/>
          <w:color w:val="000000"/>
          <w:sz w:val="24"/>
          <w:szCs w:val="24"/>
          <w:lang w:eastAsia="ru-RU"/>
        </w:rPr>
        <w:t>горячие</w:t>
      </w:r>
      <w:r w:rsidRPr="002F6264">
        <w:rPr>
          <w:rFonts w:ascii="Times New Roman" w:hAnsi="Times New Roman"/>
          <w:color w:val="000000"/>
          <w:sz w:val="24"/>
          <w:szCs w:val="24"/>
          <w:lang w:eastAsia="ru-RU"/>
        </w:rPr>
        <w:t> (цемент, минеральные удобрения, асфальт, битум и т.п.)%</w:t>
      </w:r>
    </w:p>
    <w:p w:rsidR="00D85A38" w:rsidRPr="002F6264" w:rsidRDefault="00D85A38" w:rsidP="003A4D1D">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i/>
          <w:iCs/>
          <w:color w:val="000000"/>
          <w:sz w:val="24"/>
          <w:szCs w:val="24"/>
          <w:lang w:eastAsia="ru-RU"/>
        </w:rPr>
        <w:t>опасные грузы</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Перевозка опасных грузов регламентируется специальными нормативами.</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Масса и габаритные размеры груза определяют его принадлежность к грузам</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большой массы</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 xml:space="preserve">(масса одного </w:t>
      </w:r>
      <w:proofErr w:type="spellStart"/>
      <w:r w:rsidRPr="002F6264">
        <w:rPr>
          <w:rFonts w:ascii="Times New Roman" w:hAnsi="Times New Roman"/>
          <w:color w:val="000000"/>
          <w:sz w:val="24"/>
          <w:szCs w:val="24"/>
          <w:shd w:val="clear" w:color="auto" w:fill="FFFFFF"/>
          <w:lang w:eastAsia="ru-RU"/>
        </w:rPr>
        <w:t>грузоместа</w:t>
      </w:r>
      <w:proofErr w:type="spellEnd"/>
      <w:r w:rsidRPr="002F6264">
        <w:rPr>
          <w:rFonts w:ascii="Times New Roman" w:hAnsi="Times New Roman"/>
          <w:color w:val="000000"/>
          <w:sz w:val="24"/>
          <w:szCs w:val="24"/>
          <w:shd w:val="clear" w:color="auto" w:fill="FFFFFF"/>
          <w:lang w:eastAsia="ru-RU"/>
        </w:rPr>
        <w:t xml:space="preserve"> более 250 кг для обычных грузов и более 400 кг для </w:t>
      </w:r>
      <w:proofErr w:type="spellStart"/>
      <w:r w:rsidRPr="002F6264">
        <w:rPr>
          <w:rFonts w:ascii="Times New Roman" w:hAnsi="Times New Roman"/>
          <w:color w:val="000000"/>
          <w:sz w:val="24"/>
          <w:szCs w:val="24"/>
          <w:shd w:val="clear" w:color="auto" w:fill="FFFFFF"/>
          <w:lang w:eastAsia="ru-RU"/>
        </w:rPr>
        <w:t>катных</w:t>
      </w:r>
      <w:proofErr w:type="spellEnd"/>
      <w:r w:rsidRPr="002F6264">
        <w:rPr>
          <w:rFonts w:ascii="Times New Roman" w:hAnsi="Times New Roman"/>
          <w:color w:val="000000"/>
          <w:sz w:val="24"/>
          <w:szCs w:val="24"/>
          <w:shd w:val="clear" w:color="auto" w:fill="FFFFFF"/>
          <w:lang w:eastAsia="ru-RU"/>
        </w:rPr>
        <w:t>).</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Тяжеловесным</w:t>
      </w:r>
      <w:r w:rsidRPr="002F6264">
        <w:rPr>
          <w:rFonts w:ascii="Times New Roman" w:hAnsi="Times New Roman"/>
          <w:b/>
          <w:bCs/>
          <w:color w:val="000000"/>
          <w:sz w:val="24"/>
          <w:szCs w:val="24"/>
          <w:lang w:eastAsia="ru-RU"/>
        </w:rPr>
        <w:t> </w:t>
      </w:r>
      <w:r w:rsidRPr="002F6264">
        <w:rPr>
          <w:rFonts w:ascii="Times New Roman" w:hAnsi="Times New Roman"/>
          <w:color w:val="000000"/>
          <w:sz w:val="24"/>
          <w:szCs w:val="24"/>
          <w:shd w:val="clear" w:color="auto" w:fill="FFFFFF"/>
          <w:lang w:eastAsia="ru-RU"/>
        </w:rPr>
        <w:t>называется груз, который, будучи погружен в транспортное средство, превышает хотя бы один</w:t>
      </w:r>
      <w:r w:rsidRPr="002F6264">
        <w:rPr>
          <w:rFonts w:ascii="Times New Roman" w:hAnsi="Times New Roman"/>
          <w:b/>
          <w:bCs/>
          <w:color w:val="000000"/>
          <w:sz w:val="24"/>
          <w:szCs w:val="24"/>
          <w:lang w:eastAsia="ru-RU"/>
        </w:rPr>
        <w:t> </w:t>
      </w:r>
      <w:r w:rsidRPr="002F6264">
        <w:rPr>
          <w:rFonts w:ascii="Times New Roman" w:hAnsi="Times New Roman"/>
          <w:color w:val="000000"/>
          <w:sz w:val="24"/>
          <w:szCs w:val="24"/>
          <w:shd w:val="clear" w:color="auto" w:fill="FFFFFF"/>
          <w:lang w:eastAsia="ru-RU"/>
        </w:rPr>
        <w:t>из параметров по разрешенной максимальной массе ПС или осевым нагрузкам, определенным в нормативных документах.</w:t>
      </w:r>
    </w:p>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i/>
          <w:iCs/>
          <w:color w:val="000000"/>
          <w:sz w:val="24"/>
          <w:szCs w:val="24"/>
          <w:lang w:eastAsia="ru-RU"/>
        </w:rPr>
        <w:t>Крупногабаритным</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называется груз, который вызывает превышение хотя бы одного из параметров по предельным габаритным размерам ПС, определенных в нормативных документах.</w:t>
      </w:r>
      <w:r w:rsidRPr="002F6264">
        <w:rPr>
          <w:rFonts w:ascii="Times New Roman" w:hAnsi="Times New Roman"/>
          <w:color w:val="000000"/>
          <w:sz w:val="24"/>
          <w:szCs w:val="24"/>
          <w:lang w:eastAsia="ru-RU"/>
        </w:rPr>
        <w:t> </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Длинномерным </w:t>
      </w:r>
      <w:r w:rsidRPr="002F6264">
        <w:rPr>
          <w:rFonts w:ascii="Times New Roman" w:hAnsi="Times New Roman"/>
          <w:color w:val="000000"/>
          <w:sz w:val="24"/>
          <w:szCs w:val="24"/>
          <w:shd w:val="clear" w:color="auto" w:fill="FFFFFF"/>
          <w:lang w:eastAsia="ru-RU"/>
        </w:rPr>
        <w:t>называется груз, который выступает за задний борт более чем на 2 метра.</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По степени загрузки ПС грузы делятся на четыре класса, сведения о которых приведены в таблице 2.</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Класс груза </w:t>
      </w:r>
      <w:r w:rsidRPr="002F6264">
        <w:rPr>
          <w:rFonts w:ascii="Times New Roman" w:hAnsi="Times New Roman"/>
          <w:color w:val="000000"/>
          <w:sz w:val="24"/>
          <w:szCs w:val="24"/>
          <w:shd w:val="clear" w:color="auto" w:fill="FFFFFF"/>
          <w:lang w:eastAsia="ru-RU"/>
        </w:rPr>
        <w:t>в значительной степени определяет эффективность использования ПС и уровень тарифов на перевозку.</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Коэффициент использования грузоподъемности </w:t>
      </w:r>
      <w:r w:rsidRPr="002F6264">
        <w:rPr>
          <w:rFonts w:ascii="Times New Roman" w:hAnsi="Times New Roman"/>
          <w:color w:val="000000"/>
          <w:sz w:val="24"/>
          <w:szCs w:val="24"/>
          <w:shd w:val="clear" w:color="auto" w:fill="FFFFFF"/>
          <w:lang w:eastAsia="ru-RU"/>
        </w:rPr>
        <w:t>равен отношению:</w:t>
      </w:r>
      <w:r w:rsidRPr="002F6264">
        <w:rPr>
          <w:rFonts w:ascii="Times New Roman" w:hAnsi="Times New Roman"/>
          <w:color w:val="000000"/>
          <w:sz w:val="24"/>
          <w:szCs w:val="24"/>
          <w:lang w:eastAsia="ru-RU"/>
        </w:rPr>
        <w:br/>
      </w:r>
      <w:r w:rsidRPr="002F6264">
        <w:rPr>
          <w:rFonts w:ascii="Times New Roman" w:hAnsi="Times New Roman"/>
          <w:color w:val="000000"/>
          <w:sz w:val="24"/>
          <w:szCs w:val="24"/>
          <w:shd w:val="clear" w:color="auto" w:fill="FFFFFF"/>
          <w:lang w:eastAsia="ru-RU"/>
        </w:rPr>
        <w:sym w:font="Symbol" w:char="F067"/>
      </w:r>
      <w:proofErr w:type="spellStart"/>
      <w:r w:rsidRPr="002F6264">
        <w:rPr>
          <w:rFonts w:ascii="Times New Roman" w:hAnsi="Times New Roman"/>
          <w:color w:val="000000"/>
          <w:sz w:val="24"/>
          <w:szCs w:val="24"/>
          <w:shd w:val="clear" w:color="auto" w:fill="FFFFFF"/>
          <w:lang w:eastAsia="ru-RU"/>
        </w:rPr>
        <w:t>=</w:t>
      </w:r>
      <w:proofErr w:type="gramStart"/>
      <w:r w:rsidRPr="002F6264">
        <w:rPr>
          <w:rFonts w:ascii="Times New Roman" w:hAnsi="Times New Roman"/>
          <w:color w:val="000000"/>
          <w:sz w:val="24"/>
          <w:szCs w:val="24"/>
          <w:shd w:val="clear" w:color="auto" w:fill="FFFFFF"/>
          <w:lang w:eastAsia="ru-RU"/>
        </w:rPr>
        <w:t>q</w:t>
      </w:r>
      <w:proofErr w:type="gramEnd"/>
      <w:r w:rsidRPr="002F6264">
        <w:rPr>
          <w:rFonts w:ascii="Times New Roman" w:hAnsi="Times New Roman"/>
          <w:color w:val="000000"/>
          <w:sz w:val="24"/>
          <w:szCs w:val="24"/>
          <w:vertAlign w:val="subscript"/>
          <w:lang w:eastAsia="ru-RU"/>
        </w:rPr>
        <w:t>ф</w:t>
      </w:r>
      <w:proofErr w:type="spellEnd"/>
      <w:r w:rsidRPr="002F6264">
        <w:rPr>
          <w:rFonts w:ascii="Times New Roman" w:hAnsi="Times New Roman"/>
          <w:color w:val="000000"/>
          <w:sz w:val="24"/>
          <w:szCs w:val="24"/>
          <w:shd w:val="clear" w:color="auto" w:fill="FFFFFF"/>
          <w:lang w:eastAsia="ru-RU"/>
        </w:rPr>
        <w:t>/</w:t>
      </w:r>
      <w:proofErr w:type="spellStart"/>
      <w:r w:rsidRPr="002F6264">
        <w:rPr>
          <w:rFonts w:ascii="Times New Roman" w:hAnsi="Times New Roman"/>
          <w:color w:val="000000"/>
          <w:sz w:val="24"/>
          <w:szCs w:val="24"/>
          <w:shd w:val="clear" w:color="auto" w:fill="FFFFFF"/>
          <w:lang w:eastAsia="ru-RU"/>
        </w:rPr>
        <w:t>q</w:t>
      </w:r>
      <w:r w:rsidRPr="002F6264">
        <w:rPr>
          <w:rFonts w:ascii="Times New Roman" w:hAnsi="Times New Roman"/>
          <w:color w:val="000000"/>
          <w:sz w:val="24"/>
          <w:szCs w:val="24"/>
          <w:vertAlign w:val="subscript"/>
          <w:lang w:eastAsia="ru-RU"/>
        </w:rPr>
        <w:t>н</w:t>
      </w:r>
      <w:proofErr w:type="spellEnd"/>
      <w:r w:rsidRPr="002F6264">
        <w:rPr>
          <w:rFonts w:ascii="Times New Roman" w:hAnsi="Times New Roman"/>
          <w:color w:val="000000"/>
          <w:sz w:val="24"/>
          <w:szCs w:val="24"/>
          <w:vertAlign w:val="subscript"/>
          <w:lang w:eastAsia="ru-RU"/>
        </w:rPr>
        <w:t>, </w:t>
      </w:r>
      <w:r w:rsidRPr="002F6264">
        <w:rPr>
          <w:rFonts w:ascii="Times New Roman" w:hAnsi="Times New Roman"/>
          <w:color w:val="000000"/>
          <w:sz w:val="24"/>
          <w:szCs w:val="24"/>
          <w:lang w:eastAsia="ru-RU"/>
        </w:rPr>
        <w:br/>
      </w:r>
      <w:r w:rsidRPr="002F6264">
        <w:rPr>
          <w:rFonts w:ascii="Times New Roman" w:hAnsi="Times New Roman"/>
          <w:color w:val="000000"/>
          <w:sz w:val="24"/>
          <w:szCs w:val="24"/>
          <w:shd w:val="clear" w:color="auto" w:fill="FFFFFF"/>
          <w:lang w:eastAsia="ru-RU"/>
        </w:rPr>
        <w:t xml:space="preserve">где </w:t>
      </w:r>
      <w:proofErr w:type="spellStart"/>
      <w:r w:rsidRPr="002F6264">
        <w:rPr>
          <w:rFonts w:ascii="Times New Roman" w:hAnsi="Times New Roman"/>
          <w:color w:val="000000"/>
          <w:sz w:val="24"/>
          <w:szCs w:val="24"/>
          <w:shd w:val="clear" w:color="auto" w:fill="FFFFFF"/>
          <w:lang w:eastAsia="ru-RU"/>
        </w:rPr>
        <w:t>q</w:t>
      </w:r>
      <w:r w:rsidRPr="002F6264">
        <w:rPr>
          <w:rFonts w:ascii="Times New Roman" w:hAnsi="Times New Roman"/>
          <w:color w:val="000000"/>
          <w:sz w:val="24"/>
          <w:szCs w:val="24"/>
          <w:vertAlign w:val="subscript"/>
          <w:lang w:eastAsia="ru-RU"/>
        </w:rPr>
        <w:t>ф</w:t>
      </w:r>
      <w:proofErr w:type="spellEnd"/>
      <w:r w:rsidRPr="002F6264">
        <w:rPr>
          <w:rFonts w:ascii="Times New Roman" w:hAnsi="Times New Roman"/>
          <w:color w:val="000000"/>
          <w:sz w:val="24"/>
          <w:szCs w:val="24"/>
          <w:vertAlign w:val="subscript"/>
          <w:lang w:eastAsia="ru-RU"/>
        </w:rPr>
        <w:t> </w:t>
      </w:r>
      <w:r w:rsidRPr="002F6264">
        <w:rPr>
          <w:rFonts w:ascii="Times New Roman" w:hAnsi="Times New Roman"/>
          <w:color w:val="000000"/>
          <w:sz w:val="24"/>
          <w:szCs w:val="24"/>
          <w:shd w:val="clear" w:color="auto" w:fill="FFFFFF"/>
          <w:lang w:eastAsia="ru-RU"/>
        </w:rPr>
        <w:t xml:space="preserve">– фактическая грузоподъемность ПС; </w:t>
      </w:r>
      <w:proofErr w:type="spellStart"/>
      <w:r w:rsidRPr="002F6264">
        <w:rPr>
          <w:rFonts w:ascii="Times New Roman" w:hAnsi="Times New Roman"/>
          <w:color w:val="000000"/>
          <w:sz w:val="24"/>
          <w:szCs w:val="24"/>
          <w:shd w:val="clear" w:color="auto" w:fill="FFFFFF"/>
          <w:lang w:eastAsia="ru-RU"/>
        </w:rPr>
        <w:t>q</w:t>
      </w:r>
      <w:r w:rsidRPr="002F6264">
        <w:rPr>
          <w:rFonts w:ascii="Times New Roman" w:hAnsi="Times New Roman"/>
          <w:color w:val="000000"/>
          <w:sz w:val="24"/>
          <w:szCs w:val="24"/>
          <w:vertAlign w:val="subscript"/>
          <w:lang w:eastAsia="ru-RU"/>
        </w:rPr>
        <w:t>н</w:t>
      </w:r>
      <w:proofErr w:type="spellEnd"/>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 номинальная грузоподъемность ПС.</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Классы грузов</w:t>
      </w:r>
    </w:p>
    <w:p w:rsidR="00D85A38" w:rsidRPr="002F6264" w:rsidRDefault="00D85A38" w:rsidP="00D85A38">
      <w:pPr>
        <w:spacing w:after="0" w:line="240" w:lineRule="auto"/>
        <w:ind w:right="-5" w:firstLine="720"/>
        <w:jc w:val="both"/>
        <w:rPr>
          <w:rFonts w:ascii="Times New Roman" w:hAnsi="Times New Roman"/>
          <w:sz w:val="24"/>
          <w:szCs w:val="24"/>
          <w:lang w:eastAsia="ru-RU"/>
        </w:rPr>
      </w:pPr>
      <w:r w:rsidRPr="002F6264">
        <w:rPr>
          <w:rFonts w:ascii="Times New Roman" w:hAnsi="Times New Roman"/>
          <w:color w:val="000000"/>
          <w:sz w:val="24"/>
          <w:szCs w:val="24"/>
          <w:shd w:val="clear" w:color="auto" w:fill="FFFFFF"/>
          <w:lang w:eastAsia="ru-RU"/>
        </w:rPr>
        <w:t>Таблица 2.</w:t>
      </w:r>
    </w:p>
    <w:tbl>
      <w:tblPr>
        <w:tblW w:w="9585"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0A0"/>
      </w:tblPr>
      <w:tblGrid>
        <w:gridCol w:w="2254"/>
        <w:gridCol w:w="3516"/>
        <w:gridCol w:w="3815"/>
      </w:tblGrid>
      <w:tr w:rsidR="00D85A38" w:rsidRPr="002F6264" w:rsidTr="00D85A38">
        <w:trPr>
          <w:trHeight w:val="150"/>
          <w:tblCellSpacing w:w="0" w:type="dxa"/>
        </w:trPr>
        <w:tc>
          <w:tcPr>
            <w:tcW w:w="2145" w:type="dxa"/>
            <w:vMerge w:val="restart"/>
            <w:tcBorders>
              <w:top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b/>
                <w:bCs/>
                <w:color w:val="000000"/>
                <w:sz w:val="24"/>
                <w:szCs w:val="24"/>
                <w:lang w:eastAsia="ru-RU"/>
              </w:rPr>
              <w:t>КЛАСС</w:t>
            </w:r>
          </w:p>
        </w:tc>
        <w:tc>
          <w:tcPr>
            <w:tcW w:w="6975" w:type="dxa"/>
            <w:gridSpan w:val="2"/>
            <w:tcBorders>
              <w:top w:val="outset" w:sz="6" w:space="0" w:color="000000"/>
              <w:left w:val="outset" w:sz="6" w:space="0" w:color="000000"/>
              <w:bottom w:val="outset" w:sz="6" w:space="0" w:color="000000"/>
            </w:tcBorders>
          </w:tcPr>
          <w:p w:rsidR="00D85A38" w:rsidRPr="002F6264" w:rsidRDefault="00D85A38" w:rsidP="00D85A38">
            <w:pPr>
              <w:spacing w:after="0" w:line="150" w:lineRule="atLeast"/>
              <w:ind w:right="-5" w:firstLine="720"/>
              <w:jc w:val="both"/>
              <w:rPr>
                <w:rFonts w:ascii="Times New Roman" w:hAnsi="Times New Roman"/>
                <w:color w:val="000000"/>
                <w:sz w:val="24"/>
                <w:szCs w:val="24"/>
                <w:lang w:eastAsia="ru-RU"/>
              </w:rPr>
            </w:pPr>
            <w:r w:rsidRPr="002F6264">
              <w:rPr>
                <w:rFonts w:ascii="Times New Roman" w:hAnsi="Times New Roman"/>
                <w:b/>
                <w:bCs/>
                <w:color w:val="000000"/>
                <w:sz w:val="24"/>
                <w:szCs w:val="24"/>
                <w:lang w:eastAsia="ru-RU"/>
              </w:rPr>
              <w:t xml:space="preserve">Коэффициент использования грузоподъемности </w:t>
            </w:r>
            <w:r w:rsidRPr="002F6264">
              <w:rPr>
                <w:rFonts w:ascii="Times New Roman" w:hAnsi="Times New Roman"/>
                <w:b/>
                <w:bCs/>
                <w:color w:val="000000"/>
                <w:sz w:val="24"/>
                <w:szCs w:val="24"/>
                <w:lang w:eastAsia="ru-RU"/>
              </w:rPr>
              <w:sym w:font="Symbol" w:char="F067"/>
            </w:r>
          </w:p>
        </w:tc>
      </w:tr>
      <w:tr w:rsidR="00D85A38" w:rsidRPr="002F6264" w:rsidTr="00D85A38">
        <w:trPr>
          <w:trHeight w:val="315"/>
          <w:tblCellSpacing w:w="0" w:type="dxa"/>
        </w:trPr>
        <w:tc>
          <w:tcPr>
            <w:tcW w:w="0" w:type="auto"/>
            <w:vMerge/>
            <w:tcBorders>
              <w:top w:val="outset" w:sz="6" w:space="0" w:color="000000"/>
              <w:bottom w:val="outset" w:sz="6" w:space="0" w:color="000000"/>
              <w:right w:val="outset" w:sz="6" w:space="0" w:color="000000"/>
            </w:tcBorders>
            <w:vAlign w:val="center"/>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p>
        </w:tc>
        <w:tc>
          <w:tcPr>
            <w:tcW w:w="3345" w:type="dxa"/>
            <w:tcBorders>
              <w:top w:val="outset" w:sz="6" w:space="0" w:color="000000"/>
              <w:left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b/>
                <w:bCs/>
                <w:color w:val="000000"/>
                <w:sz w:val="24"/>
                <w:szCs w:val="24"/>
                <w:lang w:eastAsia="ru-RU"/>
              </w:rPr>
              <w:t>диапазон</w:t>
            </w:r>
          </w:p>
        </w:tc>
        <w:tc>
          <w:tcPr>
            <w:tcW w:w="3420" w:type="dxa"/>
            <w:tcBorders>
              <w:top w:val="outset" w:sz="6" w:space="0" w:color="000000"/>
              <w:left w:val="outset" w:sz="6" w:space="0" w:color="000000"/>
              <w:bottom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b/>
                <w:bCs/>
                <w:color w:val="000000"/>
                <w:sz w:val="24"/>
                <w:szCs w:val="24"/>
                <w:lang w:eastAsia="ru-RU"/>
              </w:rPr>
              <w:t>среднее значение</w:t>
            </w:r>
          </w:p>
        </w:tc>
      </w:tr>
      <w:tr w:rsidR="00D85A38" w:rsidRPr="002F6264" w:rsidTr="00D85A38">
        <w:trPr>
          <w:tblCellSpacing w:w="0" w:type="dxa"/>
        </w:trPr>
        <w:tc>
          <w:tcPr>
            <w:tcW w:w="2145" w:type="dxa"/>
            <w:tcBorders>
              <w:top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1</w:t>
            </w:r>
          </w:p>
        </w:tc>
        <w:tc>
          <w:tcPr>
            <w:tcW w:w="3345" w:type="dxa"/>
            <w:tcBorders>
              <w:top w:val="outset" w:sz="6" w:space="0" w:color="000000"/>
              <w:left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0,91…1,0</w:t>
            </w:r>
          </w:p>
        </w:tc>
        <w:tc>
          <w:tcPr>
            <w:tcW w:w="3420" w:type="dxa"/>
            <w:tcBorders>
              <w:top w:val="outset" w:sz="6" w:space="0" w:color="000000"/>
              <w:left w:val="outset" w:sz="6" w:space="0" w:color="000000"/>
              <w:bottom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0,96</w:t>
            </w:r>
          </w:p>
        </w:tc>
      </w:tr>
      <w:tr w:rsidR="00D85A38" w:rsidRPr="002F6264" w:rsidTr="00D85A38">
        <w:trPr>
          <w:tblCellSpacing w:w="0" w:type="dxa"/>
        </w:trPr>
        <w:tc>
          <w:tcPr>
            <w:tcW w:w="2145" w:type="dxa"/>
            <w:tcBorders>
              <w:top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2</w:t>
            </w:r>
          </w:p>
        </w:tc>
        <w:tc>
          <w:tcPr>
            <w:tcW w:w="3345" w:type="dxa"/>
            <w:tcBorders>
              <w:top w:val="outset" w:sz="6" w:space="0" w:color="000000"/>
              <w:left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0,71…0,9</w:t>
            </w:r>
          </w:p>
        </w:tc>
        <w:tc>
          <w:tcPr>
            <w:tcW w:w="3420" w:type="dxa"/>
            <w:tcBorders>
              <w:top w:val="outset" w:sz="6" w:space="0" w:color="000000"/>
              <w:left w:val="outset" w:sz="6" w:space="0" w:color="000000"/>
              <w:bottom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0,8</w:t>
            </w:r>
          </w:p>
        </w:tc>
      </w:tr>
      <w:tr w:rsidR="00D85A38" w:rsidRPr="002F6264" w:rsidTr="00D85A38">
        <w:trPr>
          <w:tblCellSpacing w:w="0" w:type="dxa"/>
        </w:trPr>
        <w:tc>
          <w:tcPr>
            <w:tcW w:w="2145" w:type="dxa"/>
            <w:tcBorders>
              <w:top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lastRenderedPageBreak/>
              <w:t>3</w:t>
            </w:r>
          </w:p>
        </w:tc>
        <w:tc>
          <w:tcPr>
            <w:tcW w:w="3345" w:type="dxa"/>
            <w:tcBorders>
              <w:top w:val="outset" w:sz="6" w:space="0" w:color="000000"/>
              <w:left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0,51…0,7</w:t>
            </w:r>
          </w:p>
        </w:tc>
        <w:tc>
          <w:tcPr>
            <w:tcW w:w="3420" w:type="dxa"/>
            <w:tcBorders>
              <w:top w:val="outset" w:sz="6" w:space="0" w:color="000000"/>
              <w:left w:val="outset" w:sz="6" w:space="0" w:color="000000"/>
              <w:bottom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0,6</w:t>
            </w:r>
          </w:p>
        </w:tc>
      </w:tr>
      <w:tr w:rsidR="00D85A38" w:rsidRPr="002F6264" w:rsidTr="00D85A38">
        <w:trPr>
          <w:tblCellSpacing w:w="0" w:type="dxa"/>
        </w:trPr>
        <w:tc>
          <w:tcPr>
            <w:tcW w:w="2145" w:type="dxa"/>
            <w:tcBorders>
              <w:top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4</w:t>
            </w:r>
          </w:p>
        </w:tc>
        <w:tc>
          <w:tcPr>
            <w:tcW w:w="3345" w:type="dxa"/>
            <w:tcBorders>
              <w:top w:val="outset" w:sz="6" w:space="0" w:color="000000"/>
              <w:left w:val="outset" w:sz="6" w:space="0" w:color="000000"/>
              <w:bottom w:val="outset" w:sz="6" w:space="0" w:color="000000"/>
              <w:right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0,40…0,5</w:t>
            </w:r>
          </w:p>
        </w:tc>
        <w:tc>
          <w:tcPr>
            <w:tcW w:w="3420" w:type="dxa"/>
            <w:tcBorders>
              <w:top w:val="outset" w:sz="6" w:space="0" w:color="000000"/>
              <w:left w:val="outset" w:sz="6" w:space="0" w:color="000000"/>
              <w:bottom w:val="outset" w:sz="6" w:space="0" w:color="000000"/>
            </w:tcBorders>
          </w:tcPr>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0,45</w:t>
            </w:r>
          </w:p>
        </w:tc>
      </w:tr>
    </w:tbl>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proofErr w:type="gramStart"/>
      <w:r w:rsidRPr="002F6264">
        <w:rPr>
          <w:rFonts w:ascii="Times New Roman" w:hAnsi="Times New Roman"/>
          <w:color w:val="000000"/>
          <w:sz w:val="24"/>
          <w:szCs w:val="24"/>
          <w:shd w:val="clear" w:color="auto" w:fill="FFFFFF"/>
          <w:lang w:eastAsia="ru-RU"/>
        </w:rPr>
        <w:t>В зависимости от режима хранения и требуемых условий перевозки грузы делятся на</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обычные, скоропортящиеся, антисанитарные</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и</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живность</w:t>
      </w:r>
      <w:r w:rsidRPr="002F6264">
        <w:rPr>
          <w:rFonts w:ascii="Times New Roman" w:hAnsi="Times New Roman"/>
          <w:color w:val="000000"/>
          <w:sz w:val="24"/>
          <w:szCs w:val="24"/>
          <w:shd w:val="clear" w:color="auto" w:fill="FFFFFF"/>
          <w:lang w:eastAsia="ru-RU"/>
        </w:rPr>
        <w:t>.</w:t>
      </w:r>
      <w:proofErr w:type="gramEnd"/>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Физико-химические и биологические свойства грузов могут привести к изменению массы, объема или целости груза и снижению его качества.</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Качество груза – </w:t>
      </w:r>
      <w:r w:rsidRPr="002F6264">
        <w:rPr>
          <w:rFonts w:ascii="Times New Roman" w:hAnsi="Times New Roman"/>
          <w:color w:val="000000"/>
          <w:sz w:val="24"/>
          <w:szCs w:val="24"/>
          <w:shd w:val="clear" w:color="auto" w:fill="FFFFFF"/>
          <w:lang w:eastAsia="ru-RU"/>
        </w:rPr>
        <w:t>это совокупность свойств, определяющих степень пригодности продукции к использованию по назначению. Основные показатели качества определены стандартами и техническими условиями производителя. Для проверки качества могут органолептический, лабораторный или натурный (обмер и взвешивание) методы.</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Неизбежные потери грузов </w:t>
      </w:r>
      <w:r w:rsidRPr="002F6264">
        <w:rPr>
          <w:rFonts w:ascii="Times New Roman" w:hAnsi="Times New Roman"/>
          <w:color w:val="000000"/>
          <w:sz w:val="24"/>
          <w:szCs w:val="24"/>
          <w:shd w:val="clear" w:color="auto" w:fill="FFFFFF"/>
          <w:lang w:eastAsia="ru-RU"/>
        </w:rPr>
        <w:t>относятся к естественной убыли, которая при перевозках нормируется. Нормы устанавливаются производителем или потребителем продукции и соответствуют тем максимальным размерам естественной убыли, за которые перевозчик не несет ответственности. Как правило, нормы зависят от сезона, способа перевозки, дальности, региона и т.п.</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2.2. Виды транспортной тары и ее назначение</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Выбор способа выполнения погрузочно-разгрузочных работ (ПРР) зависит от вида перевозимого груза и его упаковки – транспортной тары. Типы и размеры тары в основном регламентированы стандартами. Отправитель обязан предъявлять груз перевозчику в транспортной таре, соответствующей требованиям стандартов, что обеспечивает максимальную сохранность продукции при доставке и рациональное использование объема кузова автомобиля.</w:t>
      </w:r>
    </w:p>
    <w:p w:rsidR="00D85A38" w:rsidRPr="002F6264" w:rsidRDefault="00D85A38" w:rsidP="00D85A38">
      <w:pPr>
        <w:spacing w:after="0" w:line="240" w:lineRule="auto"/>
        <w:ind w:right="-5" w:firstLine="720"/>
        <w:jc w:val="both"/>
        <w:rPr>
          <w:rFonts w:ascii="Times New Roman" w:hAnsi="Times New Roman"/>
          <w:sz w:val="24"/>
          <w:szCs w:val="24"/>
          <w:lang w:eastAsia="ru-RU"/>
        </w:rPr>
      </w:pPr>
      <w:r w:rsidRPr="002F6264">
        <w:rPr>
          <w:rFonts w:ascii="Times New Roman" w:hAnsi="Times New Roman"/>
          <w:b/>
          <w:bCs/>
          <w:i/>
          <w:iCs/>
          <w:color w:val="000000"/>
          <w:sz w:val="24"/>
          <w:szCs w:val="24"/>
          <w:lang w:eastAsia="ru-RU"/>
        </w:rPr>
        <w:t>Транспортная тара </w:t>
      </w:r>
      <w:r w:rsidRPr="002F6264">
        <w:rPr>
          <w:rFonts w:ascii="Times New Roman" w:hAnsi="Times New Roman"/>
          <w:color w:val="000000"/>
          <w:sz w:val="24"/>
          <w:szCs w:val="24"/>
          <w:shd w:val="clear" w:color="auto" w:fill="FFFFFF"/>
          <w:lang w:eastAsia="ru-RU"/>
        </w:rPr>
        <w:t>предназначена для защиты груза от воздействия внешних факторов и для обеспечения удобства ПРР, транспортирования, складирования и крепления к АТС. Для перевозки на АТ груз предъявляется в самой разнообразной таре, которую можно классифицировать:</w:t>
      </w:r>
    </w:p>
    <w:p w:rsidR="00D85A38" w:rsidRPr="002F6264" w:rsidRDefault="00D85A38" w:rsidP="003A4D1D">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i/>
          <w:iCs/>
          <w:color w:val="000000"/>
          <w:sz w:val="24"/>
          <w:szCs w:val="24"/>
          <w:lang w:eastAsia="ru-RU"/>
        </w:rPr>
        <w:t>по сфере обращения</w:t>
      </w:r>
      <w:r w:rsidRPr="002F6264">
        <w:rPr>
          <w:rFonts w:ascii="Times New Roman" w:hAnsi="Times New Roman"/>
          <w:color w:val="000000"/>
          <w:sz w:val="24"/>
          <w:szCs w:val="24"/>
          <w:lang w:eastAsia="ru-RU"/>
        </w:rPr>
        <w:t xml:space="preserve">: </w:t>
      </w:r>
      <w:proofErr w:type="gramStart"/>
      <w:r w:rsidRPr="002F6264">
        <w:rPr>
          <w:rFonts w:ascii="Times New Roman" w:hAnsi="Times New Roman"/>
          <w:color w:val="000000"/>
          <w:sz w:val="24"/>
          <w:szCs w:val="24"/>
          <w:lang w:eastAsia="ru-RU"/>
        </w:rPr>
        <w:t>разовая</w:t>
      </w:r>
      <w:proofErr w:type="gramEnd"/>
      <w:r w:rsidRPr="002F6264">
        <w:rPr>
          <w:rFonts w:ascii="Times New Roman" w:hAnsi="Times New Roman"/>
          <w:color w:val="000000"/>
          <w:sz w:val="24"/>
          <w:szCs w:val="24"/>
          <w:lang w:eastAsia="ru-RU"/>
        </w:rPr>
        <w:t xml:space="preserve"> и многооборотная;</w:t>
      </w:r>
    </w:p>
    <w:p w:rsidR="00D85A38" w:rsidRPr="002F6264" w:rsidRDefault="00D85A38" w:rsidP="003A4D1D">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proofErr w:type="gramStart"/>
      <w:r w:rsidRPr="002F6264">
        <w:rPr>
          <w:rFonts w:ascii="Times New Roman" w:hAnsi="Times New Roman"/>
          <w:i/>
          <w:iCs/>
          <w:color w:val="000000"/>
          <w:sz w:val="24"/>
          <w:szCs w:val="24"/>
          <w:lang w:eastAsia="ru-RU"/>
        </w:rPr>
        <w:t>по способности сохранять свою форму</w:t>
      </w:r>
      <w:r w:rsidRPr="002F6264">
        <w:rPr>
          <w:rFonts w:ascii="Times New Roman" w:hAnsi="Times New Roman"/>
          <w:color w:val="000000"/>
          <w:sz w:val="24"/>
          <w:szCs w:val="24"/>
          <w:lang w:eastAsia="ru-RU"/>
        </w:rPr>
        <w:t>: жесткая (из металла, дерева, пластмассы и др.); полужесткая (складные ящики из полимерных материалов, картона и пр.); мягкая (мешки из ткани, бумаги, пленки и пр.).</w:t>
      </w:r>
      <w:proofErr w:type="gramEnd"/>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К основным видам жесткой тары относятся:</w:t>
      </w:r>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ящики (деревянные, из ДВП, фанерные, полиэтиленовые, из картона);</w:t>
      </w:r>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обрешетки из реек;</w:t>
      </w:r>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барабаны (картонные, фанерные, стальные, деревянные);</w:t>
      </w:r>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 бочки (деревянные, стальные, алюминиевые, полимерные);</w:t>
      </w:r>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фляги (молочные и для лакокрасочных материалов);</w:t>
      </w:r>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тара стеклянная;</w:t>
      </w:r>
    </w:p>
    <w:p w:rsidR="00D85A38"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-контейнеры;</w:t>
      </w:r>
    </w:p>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shd w:val="clear" w:color="auto" w:fill="FFFFFF"/>
          <w:lang w:eastAsia="ru-RU"/>
        </w:rPr>
        <w:t>- средства пакетирования (поддоны, кассеты, обвязки).</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(Смотри схему на рисунке 2.2)</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b/>
          <w:bCs/>
          <w:i/>
          <w:iCs/>
          <w:color w:val="000000"/>
          <w:sz w:val="24"/>
          <w:szCs w:val="24"/>
          <w:lang w:eastAsia="ru-RU"/>
        </w:rPr>
        <w:t>Пакетом</w:t>
      </w:r>
      <w:r w:rsidRPr="002F6264">
        <w:rPr>
          <w:rFonts w:ascii="Times New Roman" w:hAnsi="Times New Roman"/>
          <w:i/>
          <w:iCs/>
          <w:color w:val="000000"/>
          <w:sz w:val="24"/>
          <w:szCs w:val="24"/>
          <w:lang w:eastAsia="ru-RU"/>
        </w:rPr>
        <w:t> </w:t>
      </w:r>
      <w:r w:rsidRPr="002F6264">
        <w:rPr>
          <w:rFonts w:ascii="Times New Roman" w:hAnsi="Times New Roman"/>
          <w:color w:val="000000"/>
          <w:sz w:val="24"/>
          <w:szCs w:val="24"/>
          <w:shd w:val="clear" w:color="auto" w:fill="FFFFFF"/>
          <w:lang w:eastAsia="ru-RU"/>
        </w:rPr>
        <w:t>называется укрупненная грузовая единица товара, уложенная в один блок, размеры и масса которого соответствуют требованиям к рациональному использованию перегрузочного оборудования и ПС.</w:t>
      </w:r>
    </w:p>
    <w:p w:rsidR="00D85A38" w:rsidRPr="002F6264" w:rsidRDefault="00D85A38" w:rsidP="00D85A38">
      <w:pPr>
        <w:spacing w:after="0" w:line="240" w:lineRule="auto"/>
        <w:ind w:right="-5" w:firstLine="720"/>
        <w:jc w:val="both"/>
        <w:rPr>
          <w:rFonts w:ascii="Times New Roman" w:hAnsi="Times New Roman"/>
          <w:sz w:val="24"/>
          <w:szCs w:val="24"/>
          <w:lang w:eastAsia="ru-RU"/>
        </w:rPr>
      </w:pPr>
      <w:r w:rsidRPr="002F6264">
        <w:rPr>
          <w:rFonts w:ascii="Times New Roman" w:hAnsi="Times New Roman"/>
          <w:color w:val="000000"/>
          <w:sz w:val="24"/>
          <w:szCs w:val="24"/>
          <w:shd w:val="clear" w:color="auto" w:fill="FFFFFF"/>
          <w:lang w:eastAsia="ru-RU"/>
        </w:rPr>
        <w:lastRenderedPageBreak/>
        <w:t>Для создания пакетов используют</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средства пакетирования</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 технические средства, предназначенные для снижения затрат времени и сокращения ручного труда; при этом груз может быть непосредственно упакован не в транспортную, а только в потребительскую тару. По конструктивным признакам средства пакетирования делятся на следующие виды:</w:t>
      </w:r>
    </w:p>
    <w:p w:rsidR="00D85A38" w:rsidRPr="002F6264" w:rsidRDefault="00D85A38" w:rsidP="003A4D1D">
      <w:pPr>
        <w:numPr>
          <w:ilvl w:val="0"/>
          <w:numId w:val="3"/>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различного типа </w:t>
      </w:r>
      <w:r w:rsidRPr="002F6264">
        <w:rPr>
          <w:rFonts w:ascii="Times New Roman" w:hAnsi="Times New Roman"/>
          <w:i/>
          <w:iCs/>
          <w:color w:val="000000"/>
          <w:sz w:val="24"/>
          <w:szCs w:val="24"/>
          <w:lang w:eastAsia="ru-RU"/>
        </w:rPr>
        <w:t>поддоны</w:t>
      </w:r>
      <w:r w:rsidRPr="002F6264">
        <w:rPr>
          <w:rFonts w:ascii="Times New Roman" w:hAnsi="Times New Roman"/>
          <w:color w:val="000000"/>
          <w:sz w:val="24"/>
          <w:szCs w:val="24"/>
          <w:lang w:eastAsia="ru-RU"/>
        </w:rPr>
        <w:t>: плоские (паллеты); стоечные; ящичные.</w:t>
      </w:r>
    </w:p>
    <w:p w:rsidR="00D85A38" w:rsidRPr="002F6264" w:rsidRDefault="00D85A38" w:rsidP="003A4D1D">
      <w:pPr>
        <w:numPr>
          <w:ilvl w:val="0"/>
          <w:numId w:val="3"/>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i/>
          <w:iCs/>
          <w:color w:val="000000"/>
          <w:sz w:val="24"/>
          <w:szCs w:val="24"/>
          <w:lang w:eastAsia="ru-RU"/>
        </w:rPr>
        <w:t>кассеты</w:t>
      </w:r>
      <w:r w:rsidRPr="002F6264">
        <w:rPr>
          <w:rFonts w:ascii="Times New Roman" w:hAnsi="Times New Roman"/>
          <w:color w:val="000000"/>
          <w:sz w:val="24"/>
          <w:szCs w:val="24"/>
          <w:lang w:eastAsia="ru-RU"/>
        </w:rPr>
        <w:t> используют для пакетирования хрупких материалов. Они представляют собой пространственную раму, которая со всех сторон защищает груз;</w:t>
      </w:r>
    </w:p>
    <w:p w:rsidR="00D85A38" w:rsidRPr="002F6264" w:rsidRDefault="00D85A38" w:rsidP="003A4D1D">
      <w:pPr>
        <w:numPr>
          <w:ilvl w:val="0"/>
          <w:numId w:val="3"/>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i/>
          <w:iCs/>
          <w:color w:val="000000"/>
          <w:sz w:val="24"/>
          <w:szCs w:val="24"/>
          <w:lang w:eastAsia="ru-RU"/>
        </w:rPr>
        <w:t>стропы</w:t>
      </w:r>
      <w:r w:rsidRPr="002F6264">
        <w:rPr>
          <w:rFonts w:ascii="Times New Roman" w:hAnsi="Times New Roman"/>
          <w:color w:val="000000"/>
          <w:sz w:val="24"/>
          <w:szCs w:val="24"/>
          <w:lang w:eastAsia="ru-RU"/>
        </w:rPr>
        <w:t xml:space="preserve"> изготавливают из синтетических лент и используют для пакетирования </w:t>
      </w:r>
      <w:proofErr w:type="spellStart"/>
      <w:r w:rsidRPr="002F6264">
        <w:rPr>
          <w:rFonts w:ascii="Times New Roman" w:hAnsi="Times New Roman"/>
          <w:color w:val="000000"/>
          <w:sz w:val="24"/>
          <w:szCs w:val="24"/>
          <w:lang w:eastAsia="ru-RU"/>
        </w:rPr>
        <w:t>мешковых</w:t>
      </w:r>
      <w:proofErr w:type="spellEnd"/>
      <w:r w:rsidRPr="002F6264">
        <w:rPr>
          <w:rFonts w:ascii="Times New Roman" w:hAnsi="Times New Roman"/>
          <w:color w:val="000000"/>
          <w:sz w:val="24"/>
          <w:szCs w:val="24"/>
          <w:lang w:eastAsia="ru-RU"/>
        </w:rPr>
        <w:t xml:space="preserve"> и </w:t>
      </w:r>
      <w:proofErr w:type="spellStart"/>
      <w:r w:rsidRPr="002F6264">
        <w:rPr>
          <w:rFonts w:ascii="Times New Roman" w:hAnsi="Times New Roman"/>
          <w:color w:val="000000"/>
          <w:sz w:val="24"/>
          <w:szCs w:val="24"/>
          <w:lang w:eastAsia="ru-RU"/>
        </w:rPr>
        <w:t>киповых</w:t>
      </w:r>
      <w:proofErr w:type="spellEnd"/>
      <w:r w:rsidRPr="002F6264">
        <w:rPr>
          <w:rFonts w:ascii="Times New Roman" w:hAnsi="Times New Roman"/>
          <w:color w:val="000000"/>
          <w:sz w:val="24"/>
          <w:szCs w:val="24"/>
          <w:lang w:eastAsia="ru-RU"/>
        </w:rPr>
        <w:t xml:space="preserve"> грузов.</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При перевозке продовольственных грузов непосредственно в магазины может использоваться</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тара-оборудование</w:t>
      </w:r>
      <w:r w:rsidRPr="002F6264">
        <w:rPr>
          <w:rFonts w:ascii="Times New Roman" w:hAnsi="Times New Roman"/>
          <w:color w:val="000000"/>
          <w:sz w:val="24"/>
          <w:szCs w:val="24"/>
          <w:shd w:val="clear" w:color="auto" w:fill="FFFFFF"/>
          <w:lang w:eastAsia="ru-RU"/>
        </w:rPr>
        <w:t xml:space="preserve">, которая состоит из трубчатого каркаса на колесиках с решетчатыми стенками и полками. Тара-оборудование позволяет существенно снизить трудоемкость доставки груза за счет снижения числа перегрузочных и учетных операций без необходимости использования мощных средств погрузки-разгрузки. Товар после изготовления фасуется в потребительскую тару и укладывается в тару-оборудование, в которой и доставляется непосредственно в торговый </w:t>
      </w:r>
      <w:proofErr w:type="spellStart"/>
      <w:r w:rsidRPr="002F6264">
        <w:rPr>
          <w:rFonts w:ascii="Times New Roman" w:hAnsi="Times New Roman"/>
          <w:color w:val="000000"/>
          <w:sz w:val="24"/>
          <w:szCs w:val="24"/>
          <w:shd w:val="clear" w:color="auto" w:fill="FFFFFF"/>
          <w:lang w:eastAsia="ru-RU"/>
        </w:rPr>
        <w:t>зал</w:t>
      </w:r>
      <w:proofErr w:type="gramStart"/>
      <w:r w:rsidRPr="002F6264">
        <w:rPr>
          <w:rFonts w:ascii="Times New Roman" w:hAnsi="Times New Roman"/>
          <w:color w:val="000000"/>
          <w:sz w:val="24"/>
          <w:szCs w:val="24"/>
          <w:shd w:val="clear" w:color="auto" w:fill="FFFFFF"/>
          <w:lang w:eastAsia="ru-RU"/>
        </w:rPr>
        <w:t>.Н</w:t>
      </w:r>
      <w:proofErr w:type="gramEnd"/>
      <w:r w:rsidRPr="002F6264">
        <w:rPr>
          <w:rFonts w:ascii="Times New Roman" w:hAnsi="Times New Roman"/>
          <w:color w:val="000000"/>
          <w:sz w:val="24"/>
          <w:szCs w:val="24"/>
          <w:shd w:val="clear" w:color="auto" w:fill="FFFFFF"/>
          <w:lang w:eastAsia="ru-RU"/>
        </w:rPr>
        <w:t>аряду</w:t>
      </w:r>
      <w:proofErr w:type="spellEnd"/>
      <w:r w:rsidRPr="002F6264">
        <w:rPr>
          <w:rFonts w:ascii="Times New Roman" w:hAnsi="Times New Roman"/>
          <w:color w:val="000000"/>
          <w:sz w:val="24"/>
          <w:szCs w:val="24"/>
          <w:shd w:val="clear" w:color="auto" w:fill="FFFFFF"/>
          <w:lang w:eastAsia="ru-RU"/>
        </w:rPr>
        <w:t xml:space="preserve"> со средствами пакетирования наиболее прогрессивным способом перевозки является использование контейнеров.</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b/>
          <w:bCs/>
          <w:i/>
          <w:iCs/>
          <w:color w:val="000000"/>
          <w:sz w:val="24"/>
          <w:szCs w:val="24"/>
          <w:lang w:eastAsia="ru-RU"/>
        </w:rPr>
        <w:t>Контейнер </w:t>
      </w:r>
      <w:r w:rsidRPr="002F6264">
        <w:rPr>
          <w:rFonts w:ascii="Times New Roman" w:hAnsi="Times New Roman"/>
          <w:color w:val="000000"/>
          <w:sz w:val="24"/>
          <w:szCs w:val="24"/>
          <w:shd w:val="clear" w:color="auto" w:fill="FFFFFF"/>
          <w:lang w:eastAsia="ru-RU"/>
        </w:rPr>
        <w:t>– это транспортное оборудование, предназначенное для многократного использования и приспособленное для механизированной погрузки-разгрузки (</w:t>
      </w:r>
      <w:proofErr w:type="gramStart"/>
      <w:r w:rsidRPr="002F6264">
        <w:rPr>
          <w:rFonts w:ascii="Times New Roman" w:hAnsi="Times New Roman"/>
          <w:color w:val="000000"/>
          <w:sz w:val="24"/>
          <w:szCs w:val="24"/>
          <w:shd w:val="clear" w:color="auto" w:fill="FFFFFF"/>
          <w:lang w:eastAsia="ru-RU"/>
        </w:rPr>
        <w:t>П-Р</w:t>
      </w:r>
      <w:proofErr w:type="gramEnd"/>
      <w:r w:rsidRPr="002F6264">
        <w:rPr>
          <w:rFonts w:ascii="Times New Roman" w:hAnsi="Times New Roman"/>
          <w:color w:val="000000"/>
          <w:sz w:val="24"/>
          <w:szCs w:val="24"/>
          <w:shd w:val="clear" w:color="auto" w:fill="FFFFFF"/>
          <w:lang w:eastAsia="ru-RU"/>
        </w:rPr>
        <w:t>) и кратковременного хранения груза объемом более 1м</w:t>
      </w:r>
      <w:r w:rsidRPr="002F6264">
        <w:rPr>
          <w:rFonts w:ascii="Times New Roman" w:hAnsi="Times New Roman"/>
          <w:color w:val="000000"/>
          <w:sz w:val="24"/>
          <w:szCs w:val="24"/>
          <w:vertAlign w:val="superscript"/>
          <w:lang w:eastAsia="ru-RU"/>
        </w:rPr>
        <w:t>3</w:t>
      </w:r>
      <w:r w:rsidRPr="002F6264">
        <w:rPr>
          <w:rFonts w:ascii="Times New Roman" w:hAnsi="Times New Roman"/>
          <w:color w:val="000000"/>
          <w:sz w:val="24"/>
          <w:szCs w:val="24"/>
          <w:shd w:val="clear" w:color="auto" w:fill="FFFFFF"/>
          <w:lang w:eastAsia="ru-RU"/>
        </w:rPr>
        <w:t>. Контейнеры обеспечивают выполнение основных функций:</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укрупнения грузовых единиц:</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съемного специализированного кузова;</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внешней тары для защиты от различных воздействий;</w:t>
      </w:r>
    </w:p>
    <w:p w:rsidR="00D85A38" w:rsidRPr="002F6264" w:rsidRDefault="00D85A38" w:rsidP="00D85A38">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shd w:val="clear" w:color="auto" w:fill="FFFFFF"/>
          <w:lang w:eastAsia="ru-RU"/>
        </w:rPr>
        <w:t>- временной складской емкости.</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proofErr w:type="gramStart"/>
      <w:r w:rsidRPr="002F6264">
        <w:rPr>
          <w:rFonts w:ascii="Times New Roman" w:hAnsi="Times New Roman"/>
          <w:color w:val="000000"/>
          <w:sz w:val="24"/>
          <w:szCs w:val="24"/>
          <w:shd w:val="clear" w:color="auto" w:fill="FFFFFF"/>
          <w:lang w:eastAsia="ru-RU"/>
        </w:rPr>
        <w:t>Для грузовых автоперевозок (ГАП) используются различного вида контейнеры: от сеточных для торговли до крупногабаритных международного стандарта.</w:t>
      </w:r>
      <w:proofErr w:type="gramEnd"/>
      <w:r w:rsidRPr="002F6264">
        <w:rPr>
          <w:rFonts w:ascii="Times New Roman" w:hAnsi="Times New Roman"/>
          <w:color w:val="000000"/>
          <w:sz w:val="24"/>
          <w:szCs w:val="24"/>
          <w:shd w:val="clear" w:color="auto" w:fill="FFFFFF"/>
          <w:lang w:eastAsia="ru-RU"/>
        </w:rPr>
        <w:t xml:space="preserve"> Они имеют особое значение для АТ, так как в них перевозится подавляющее количество грузов в международном сообщении и с помощью нескольких видов транспорта. Размеры контейнеров удовлетворяют принципу модульности, т.е. вместо более крупного контейнера можно разместить несколько меньших. Кроме универсальных большое распространение получили специализированные контейнеры, которые используются для перевозки отдельных видов грузов.</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2.3. Правила маркировки грузов</w:t>
      </w:r>
    </w:p>
    <w:p w:rsidR="00D85A38" w:rsidRPr="002F6264" w:rsidRDefault="00D85A38" w:rsidP="00D85A38">
      <w:pPr>
        <w:spacing w:after="0" w:line="240" w:lineRule="auto"/>
        <w:ind w:right="-5" w:firstLine="720"/>
        <w:jc w:val="both"/>
        <w:rPr>
          <w:rFonts w:ascii="Times New Roman" w:hAnsi="Times New Roman"/>
          <w:b/>
          <w:bCs/>
          <w:color w:val="000000"/>
          <w:sz w:val="24"/>
          <w:szCs w:val="24"/>
          <w:lang w:eastAsia="ru-RU"/>
        </w:rPr>
      </w:pP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Все грузы, принимаемые к перевозке, должны иметь</w:t>
      </w:r>
      <w:r w:rsidRPr="002F6264">
        <w:rPr>
          <w:rFonts w:ascii="Times New Roman" w:hAnsi="Times New Roman"/>
          <w:color w:val="000000"/>
          <w:sz w:val="24"/>
          <w:szCs w:val="24"/>
          <w:lang w:eastAsia="ru-RU"/>
        </w:rPr>
        <w:t> </w:t>
      </w:r>
      <w:r w:rsidRPr="002F6264">
        <w:rPr>
          <w:rFonts w:ascii="Times New Roman" w:hAnsi="Times New Roman"/>
          <w:b/>
          <w:bCs/>
          <w:i/>
          <w:iCs/>
          <w:color w:val="000000"/>
          <w:sz w:val="24"/>
          <w:szCs w:val="24"/>
          <w:lang w:eastAsia="ru-RU"/>
        </w:rPr>
        <w:t>маркировку. </w:t>
      </w:r>
      <w:r w:rsidRPr="002F6264">
        <w:rPr>
          <w:rFonts w:ascii="Times New Roman" w:hAnsi="Times New Roman"/>
          <w:color w:val="000000"/>
          <w:sz w:val="24"/>
          <w:szCs w:val="24"/>
          <w:shd w:val="clear" w:color="auto" w:fill="FFFFFF"/>
          <w:lang w:eastAsia="ru-RU"/>
        </w:rPr>
        <w:t>Правила маркировки определяет ГОСТ 14192-96, являющийся международным стандартом СНГ.</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Транспортная маркировка </w:t>
      </w:r>
      <w:r w:rsidRPr="002F6264">
        <w:rPr>
          <w:rFonts w:ascii="Times New Roman" w:hAnsi="Times New Roman"/>
          <w:color w:val="000000"/>
          <w:sz w:val="24"/>
          <w:szCs w:val="24"/>
          <w:shd w:val="clear" w:color="auto" w:fill="FFFFFF"/>
          <w:lang w:eastAsia="ru-RU"/>
        </w:rPr>
        <w:t>должна содержать манипуляционные знаки, основные, дополнительные и информационные знаки. Расположение надписей на маркировке приведено на рисунке 2.1.</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proofErr w:type="gramStart"/>
      <w:r w:rsidRPr="002F6264">
        <w:rPr>
          <w:rFonts w:ascii="Times New Roman" w:hAnsi="Times New Roman"/>
          <w:color w:val="000000"/>
          <w:sz w:val="24"/>
          <w:szCs w:val="24"/>
          <w:shd w:val="clear" w:color="auto" w:fill="FFFFFF"/>
          <w:lang w:eastAsia="ru-RU"/>
        </w:rPr>
        <w:lastRenderedPageBreak/>
        <w:t>1</w:t>
      </w:r>
      <w:r>
        <w:rPr>
          <w:noProof/>
          <w:lang w:eastAsia="ru-RU"/>
        </w:rP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3876675" cy="2686050"/>
            <wp:effectExtent l="19050" t="0" r="9525" b="0"/>
            <wp:wrapSquare wrapText="bothSides"/>
            <wp:docPr id="2" name="Рисунок 2" descr="http://gendocs.ru/docs/10/9533/conv_1/file1_html_m675c1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gendocs.ru/docs/10/9533/conv_1/file1_html_m675c129.gif"/>
                    <pic:cNvPicPr>
                      <a:picLocks noChangeAspect="1" noChangeArrowheads="1"/>
                    </pic:cNvPicPr>
                  </pic:nvPicPr>
                  <pic:blipFill>
                    <a:blip r:embed="rId5" cstate="print"/>
                    <a:srcRect/>
                    <a:stretch>
                      <a:fillRect/>
                    </a:stretch>
                  </pic:blipFill>
                  <pic:spPr bwMode="auto">
                    <a:xfrm>
                      <a:off x="0" y="0"/>
                      <a:ext cx="3876675" cy="2686050"/>
                    </a:xfrm>
                    <a:prstGeom prst="rect">
                      <a:avLst/>
                    </a:prstGeom>
                    <a:noFill/>
                  </pic:spPr>
                </pic:pic>
              </a:graphicData>
            </a:graphic>
          </wp:anchor>
        </w:drawing>
      </w:r>
      <w:r w:rsidRPr="002F6264">
        <w:rPr>
          <w:rFonts w:ascii="Times New Roman" w:hAnsi="Times New Roman"/>
          <w:color w:val="000000"/>
          <w:sz w:val="24"/>
          <w:szCs w:val="24"/>
          <w:shd w:val="clear" w:color="auto" w:fill="FFFFFF"/>
          <w:lang w:eastAsia="ru-RU"/>
        </w:rPr>
        <w:t>,2 – манипуляционные знаки и предупредительные надписи; 3 - порядковый номер в партии и общее число мест в партии груза; 4 - наименование грузополучателя и пункта назначения; 5 - наименование пункта перегрузки; 6 - надписи транспортных организаций; 7- объем грузового места (для экспортных грузов); 8 - габаритные размеры; 9 - масса брутто; 10 - масса нетто; 11 –страна - изготовитель;</w:t>
      </w:r>
      <w:proofErr w:type="gramEnd"/>
      <w:r w:rsidRPr="002F6264">
        <w:rPr>
          <w:rFonts w:ascii="Times New Roman" w:hAnsi="Times New Roman"/>
          <w:color w:val="000000"/>
          <w:sz w:val="24"/>
          <w:szCs w:val="24"/>
          <w:shd w:val="clear" w:color="auto" w:fill="FFFFFF"/>
          <w:lang w:eastAsia="ru-RU"/>
        </w:rPr>
        <w:t xml:space="preserve"> 12 - наименование пункта отправления; 13 – наименование грузоотправителя</w:t>
      </w:r>
      <w:proofErr w:type="gramStart"/>
      <w:r w:rsidRPr="002F6264">
        <w:rPr>
          <w:rFonts w:ascii="Times New Roman" w:hAnsi="Times New Roman"/>
          <w:color w:val="000000"/>
          <w:sz w:val="24"/>
          <w:szCs w:val="24"/>
          <w:shd w:val="clear" w:color="auto" w:fill="FFFFFF"/>
          <w:lang w:eastAsia="ru-RU"/>
        </w:rPr>
        <w:t>.</w:t>
      </w:r>
      <w:proofErr w:type="gramEnd"/>
      <w:r w:rsidRPr="002F6264">
        <w:rPr>
          <w:rFonts w:ascii="Times New Roman" w:hAnsi="Times New Roman"/>
          <w:color w:val="000000"/>
          <w:sz w:val="24"/>
          <w:szCs w:val="24"/>
          <w:shd w:val="clear" w:color="auto" w:fill="FFFFFF"/>
          <w:lang w:eastAsia="ru-RU"/>
        </w:rPr>
        <w:t xml:space="preserve"> (</w:t>
      </w:r>
      <w:proofErr w:type="gramStart"/>
      <w:r w:rsidRPr="002F6264">
        <w:rPr>
          <w:rFonts w:ascii="Times New Roman" w:hAnsi="Times New Roman"/>
          <w:color w:val="000000"/>
          <w:sz w:val="24"/>
          <w:szCs w:val="24"/>
          <w:shd w:val="clear" w:color="auto" w:fill="FFFFFF"/>
          <w:lang w:eastAsia="ru-RU"/>
        </w:rPr>
        <w:t>п</w:t>
      </w:r>
      <w:proofErr w:type="gramEnd"/>
      <w:r w:rsidRPr="002F6264">
        <w:rPr>
          <w:rFonts w:ascii="Times New Roman" w:hAnsi="Times New Roman"/>
          <w:color w:val="000000"/>
          <w:sz w:val="24"/>
          <w:szCs w:val="24"/>
          <w:shd w:val="clear" w:color="auto" w:fill="FFFFFF"/>
          <w:lang w:eastAsia="ru-RU"/>
        </w:rPr>
        <w:t>унктирные блоки обозначают необязательные надписи).</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Манипуляционные знаки – </w:t>
      </w:r>
      <w:r w:rsidRPr="002F6264">
        <w:rPr>
          <w:rFonts w:ascii="Times New Roman" w:hAnsi="Times New Roman"/>
          <w:color w:val="000000"/>
          <w:sz w:val="24"/>
          <w:szCs w:val="24"/>
          <w:shd w:val="clear" w:color="auto" w:fill="FFFFFF"/>
          <w:lang w:eastAsia="ru-RU"/>
        </w:rPr>
        <w:t>это изображения, указывающие на способы обращения с грузом. Манипуляционные знаки должны соответствовать ГОСТУ. Знаки наносят непосредственно на тару или упаковку, ярлыки и этикетки на каждое грузовое место в левом верхнем углу на двух соседних стенках тары и упаковки. В зависимости от размера и формы тары габаритные размеры манипуляционного знака должны составлять 100, 150 или 200 мм.</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Предупредительные надписи </w:t>
      </w:r>
      <w:r w:rsidRPr="002F6264">
        <w:rPr>
          <w:rFonts w:ascii="Times New Roman" w:hAnsi="Times New Roman"/>
          <w:color w:val="000000"/>
          <w:sz w:val="24"/>
          <w:szCs w:val="24"/>
          <w:shd w:val="clear" w:color="auto" w:fill="FFFFFF"/>
          <w:lang w:eastAsia="ru-RU"/>
        </w:rPr>
        <w:t>используют на маркировке в тех случаях, когда способ обращения с грузом невозможно выразить только манипуляционными знаками. Например, «За обвязку не поднимать».</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Способ нанесения маркировки </w:t>
      </w:r>
      <w:r w:rsidRPr="002F6264">
        <w:rPr>
          <w:rFonts w:ascii="Times New Roman" w:hAnsi="Times New Roman"/>
          <w:color w:val="000000"/>
          <w:sz w:val="24"/>
          <w:szCs w:val="24"/>
          <w:shd w:val="clear" w:color="auto" w:fill="FFFFFF"/>
          <w:lang w:eastAsia="ru-RU"/>
        </w:rPr>
        <w:t xml:space="preserve">должен обеспечить его сохранность в течение всего транспортного процесса. Маркировка может быть выполнена непосредственно на таре (грузе </w:t>
      </w:r>
      <w:proofErr w:type="gramStart"/>
      <w:r w:rsidRPr="002F6264">
        <w:rPr>
          <w:rFonts w:ascii="Times New Roman" w:hAnsi="Times New Roman"/>
          <w:color w:val="000000"/>
          <w:sz w:val="24"/>
          <w:szCs w:val="24"/>
          <w:shd w:val="clear" w:color="auto" w:fill="FFFFFF"/>
          <w:lang w:eastAsia="ru-RU"/>
        </w:rPr>
        <w:t>без</w:t>
      </w:r>
      <w:proofErr w:type="gramEnd"/>
      <w:r w:rsidRPr="002F6264">
        <w:rPr>
          <w:rFonts w:ascii="Times New Roman" w:hAnsi="Times New Roman"/>
          <w:color w:val="000000"/>
          <w:sz w:val="24"/>
          <w:szCs w:val="24"/>
          <w:shd w:val="clear" w:color="auto" w:fill="FFFFFF"/>
          <w:lang w:eastAsia="ru-RU"/>
        </w:rPr>
        <w:t xml:space="preserve"> упаковке) или на отдельной табличке (бирке), надежно прикрепленной к грузу.</w:t>
      </w:r>
    </w:p>
    <w:p w:rsidR="00D85A38" w:rsidRPr="002F6264" w:rsidRDefault="00D85A38" w:rsidP="00D85A38">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Транспортная маркировка наносится на государственном языке и иностранном, указанном в заказе – наряде внешнеторгового объединения. При длине или ширине тары до 1 м допускается маркировку наносить на одной из сторон на языке, указанном в наряде.</w:t>
      </w:r>
    </w:p>
    <w:p w:rsidR="00D85A38" w:rsidRDefault="00D85A38" w:rsidP="00D85A38">
      <w:pPr>
        <w:spacing w:after="0" w:line="240" w:lineRule="auto"/>
        <w:ind w:right="-5" w:firstLine="720"/>
        <w:jc w:val="both"/>
        <w:rPr>
          <w:rFonts w:ascii="Times New Roman" w:hAnsi="Times New Roman"/>
          <w:b/>
          <w:bCs/>
          <w:color w:val="000000"/>
          <w:sz w:val="24"/>
          <w:szCs w:val="24"/>
          <w:lang w:eastAsia="ru-RU"/>
        </w:rPr>
      </w:pPr>
    </w:p>
    <w:p w:rsidR="00D85A38" w:rsidRDefault="00D85A38" w:rsidP="00D85A38">
      <w:pPr>
        <w:spacing w:after="0" w:line="240" w:lineRule="auto"/>
        <w:ind w:right="-5" w:firstLine="720"/>
        <w:jc w:val="both"/>
        <w:rPr>
          <w:rFonts w:ascii="Times New Roman" w:hAnsi="Times New Roman"/>
          <w:b/>
          <w:bCs/>
          <w:color w:val="000000"/>
          <w:sz w:val="24"/>
          <w:szCs w:val="24"/>
          <w:lang w:eastAsia="ru-RU"/>
        </w:rPr>
      </w:pPr>
    </w:p>
    <w:sectPr w:rsidR="00D85A38" w:rsidSect="00AC38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4D9F"/>
    <w:multiLevelType w:val="multilevel"/>
    <w:tmpl w:val="2C30A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426129"/>
    <w:multiLevelType w:val="multilevel"/>
    <w:tmpl w:val="3C922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457F58"/>
    <w:multiLevelType w:val="multilevel"/>
    <w:tmpl w:val="7384F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042536"/>
    <w:multiLevelType w:val="multilevel"/>
    <w:tmpl w:val="910019B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0CE0120E"/>
    <w:multiLevelType w:val="multilevel"/>
    <w:tmpl w:val="B096E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4C0FC4"/>
    <w:multiLevelType w:val="multilevel"/>
    <w:tmpl w:val="0A52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3A3344"/>
    <w:multiLevelType w:val="multilevel"/>
    <w:tmpl w:val="CE60C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9148D1"/>
    <w:multiLevelType w:val="multilevel"/>
    <w:tmpl w:val="809A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EEC53C3"/>
    <w:multiLevelType w:val="multilevel"/>
    <w:tmpl w:val="6AF84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C55B87"/>
    <w:multiLevelType w:val="multilevel"/>
    <w:tmpl w:val="3DC8B22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39A409D4"/>
    <w:multiLevelType w:val="multilevel"/>
    <w:tmpl w:val="86388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F30CD9"/>
    <w:multiLevelType w:val="multilevel"/>
    <w:tmpl w:val="1924C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1A68C3"/>
    <w:multiLevelType w:val="multilevel"/>
    <w:tmpl w:val="8D6A9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4D906A1"/>
    <w:multiLevelType w:val="multilevel"/>
    <w:tmpl w:val="E9BE9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BB63CF6"/>
    <w:multiLevelType w:val="multilevel"/>
    <w:tmpl w:val="CDB08B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4FB04D7D"/>
    <w:multiLevelType w:val="multilevel"/>
    <w:tmpl w:val="FF54E40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565008C6"/>
    <w:multiLevelType w:val="multilevel"/>
    <w:tmpl w:val="70D63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077700F"/>
    <w:multiLevelType w:val="multilevel"/>
    <w:tmpl w:val="61927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C32524"/>
    <w:multiLevelType w:val="multilevel"/>
    <w:tmpl w:val="43CA1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8682E48"/>
    <w:multiLevelType w:val="multilevel"/>
    <w:tmpl w:val="65BA0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B64D54"/>
    <w:multiLevelType w:val="multilevel"/>
    <w:tmpl w:val="920EB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7"/>
  </w:num>
  <w:num w:numId="3">
    <w:abstractNumId w:val="16"/>
  </w:num>
  <w:num w:numId="4">
    <w:abstractNumId w:val="1"/>
  </w:num>
  <w:num w:numId="5">
    <w:abstractNumId w:val="7"/>
  </w:num>
  <w:num w:numId="6">
    <w:abstractNumId w:val="9"/>
  </w:num>
  <w:num w:numId="7">
    <w:abstractNumId w:val="6"/>
  </w:num>
  <w:num w:numId="8">
    <w:abstractNumId w:val="18"/>
  </w:num>
  <w:num w:numId="9">
    <w:abstractNumId w:val="20"/>
  </w:num>
  <w:num w:numId="10">
    <w:abstractNumId w:val="10"/>
  </w:num>
  <w:num w:numId="11">
    <w:abstractNumId w:val="15"/>
  </w:num>
  <w:num w:numId="12">
    <w:abstractNumId w:val="13"/>
  </w:num>
  <w:num w:numId="13">
    <w:abstractNumId w:val="5"/>
  </w:num>
  <w:num w:numId="14">
    <w:abstractNumId w:val="8"/>
  </w:num>
  <w:num w:numId="15">
    <w:abstractNumId w:val="4"/>
  </w:num>
  <w:num w:numId="16">
    <w:abstractNumId w:val="0"/>
  </w:num>
  <w:num w:numId="17">
    <w:abstractNumId w:val="12"/>
  </w:num>
  <w:num w:numId="18">
    <w:abstractNumId w:val="14"/>
  </w:num>
  <w:num w:numId="19">
    <w:abstractNumId w:val="2"/>
  </w:num>
  <w:num w:numId="20">
    <w:abstractNumId w:val="11"/>
  </w:num>
  <w:num w:numId="21">
    <w:abstractNumId w:val="3"/>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85A38"/>
    <w:rsid w:val="002174BD"/>
    <w:rsid w:val="003A4D1D"/>
    <w:rsid w:val="004C4DAA"/>
    <w:rsid w:val="00AC38AA"/>
    <w:rsid w:val="00AD4D85"/>
    <w:rsid w:val="00C86B5D"/>
    <w:rsid w:val="00D85A38"/>
    <w:rsid w:val="00E16E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5A38"/>
    <w:rPr>
      <w:rFonts w:ascii="Calibri" w:eastAsia="Calibri" w:hAnsi="Calibri" w:cs="Times New Roman"/>
    </w:rPr>
  </w:style>
  <w:style w:type="paragraph" w:styleId="1">
    <w:name w:val="heading 1"/>
    <w:basedOn w:val="a"/>
    <w:link w:val="10"/>
    <w:uiPriority w:val="99"/>
    <w:qFormat/>
    <w:rsid w:val="00D85A38"/>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4">
    <w:name w:val="heading 4"/>
    <w:basedOn w:val="a"/>
    <w:next w:val="a"/>
    <w:link w:val="40"/>
    <w:uiPriority w:val="99"/>
    <w:qFormat/>
    <w:rsid w:val="00D85A38"/>
    <w:pPr>
      <w:keepNext/>
      <w:keepLines/>
      <w:spacing w:before="200" w:after="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85A38"/>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9"/>
    <w:rsid w:val="00D85A38"/>
    <w:rPr>
      <w:rFonts w:ascii="Cambria" w:eastAsia="Times New Roman" w:hAnsi="Cambria" w:cs="Times New Roman"/>
      <w:b/>
      <w:bCs/>
      <w:i/>
      <w:iCs/>
      <w:color w:val="4F81BD"/>
    </w:rPr>
  </w:style>
  <w:style w:type="character" w:customStyle="1" w:styleId="apple-converted-space">
    <w:name w:val="apple-converted-space"/>
    <w:basedOn w:val="a0"/>
    <w:uiPriority w:val="99"/>
    <w:rsid w:val="00D85A38"/>
    <w:rPr>
      <w:rFonts w:cs="Times New Roman"/>
    </w:rPr>
  </w:style>
  <w:style w:type="character" w:customStyle="1" w:styleId="butback">
    <w:name w:val="butback"/>
    <w:basedOn w:val="a0"/>
    <w:uiPriority w:val="99"/>
    <w:rsid w:val="00D85A38"/>
    <w:rPr>
      <w:rFonts w:cs="Times New Roman"/>
    </w:rPr>
  </w:style>
  <w:style w:type="character" w:customStyle="1" w:styleId="submenu-table">
    <w:name w:val="submenu-table"/>
    <w:basedOn w:val="a0"/>
    <w:uiPriority w:val="99"/>
    <w:rsid w:val="00D85A38"/>
    <w:rPr>
      <w:rFonts w:cs="Times New Roman"/>
    </w:rPr>
  </w:style>
  <w:style w:type="paragraph" w:styleId="a3">
    <w:name w:val="List Paragraph"/>
    <w:basedOn w:val="a"/>
    <w:uiPriority w:val="99"/>
    <w:qFormat/>
    <w:rsid w:val="00D85A38"/>
    <w:pPr>
      <w:ind w:left="720"/>
      <w:contextualSpacing/>
    </w:pPr>
  </w:style>
  <w:style w:type="character" w:styleId="a4">
    <w:name w:val="Hyperlink"/>
    <w:basedOn w:val="a0"/>
    <w:uiPriority w:val="99"/>
    <w:semiHidden/>
    <w:rsid w:val="00D85A38"/>
    <w:rPr>
      <w:rFonts w:cs="Times New Roman"/>
      <w:color w:val="0000FF"/>
      <w:u w:val="single"/>
    </w:rPr>
  </w:style>
  <w:style w:type="paragraph" w:styleId="a5">
    <w:name w:val="Normal (Web)"/>
    <w:basedOn w:val="a"/>
    <w:uiPriority w:val="99"/>
    <w:semiHidden/>
    <w:rsid w:val="00D85A38"/>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footer"/>
    <w:basedOn w:val="a"/>
    <w:link w:val="a7"/>
    <w:uiPriority w:val="99"/>
    <w:rsid w:val="00D85A38"/>
    <w:pPr>
      <w:tabs>
        <w:tab w:val="center" w:pos="4677"/>
        <w:tab w:val="right" w:pos="9355"/>
      </w:tabs>
    </w:pPr>
  </w:style>
  <w:style w:type="character" w:customStyle="1" w:styleId="a7">
    <w:name w:val="Нижний колонтитул Знак"/>
    <w:basedOn w:val="a0"/>
    <w:link w:val="a6"/>
    <w:uiPriority w:val="99"/>
    <w:rsid w:val="00D85A38"/>
    <w:rPr>
      <w:rFonts w:ascii="Calibri" w:eastAsia="Calibri" w:hAnsi="Calibri" w:cs="Times New Roman"/>
    </w:rPr>
  </w:style>
  <w:style w:type="character" w:styleId="a8">
    <w:name w:val="page number"/>
    <w:basedOn w:val="a0"/>
    <w:uiPriority w:val="99"/>
    <w:rsid w:val="00D85A38"/>
    <w:rPr>
      <w:rFonts w:cs="Times New Roman"/>
    </w:rPr>
  </w:style>
  <w:style w:type="paragraph" w:styleId="a9">
    <w:name w:val="header"/>
    <w:basedOn w:val="a"/>
    <w:link w:val="aa"/>
    <w:uiPriority w:val="99"/>
    <w:semiHidden/>
    <w:unhideWhenUsed/>
    <w:rsid w:val="00D85A38"/>
    <w:pPr>
      <w:tabs>
        <w:tab w:val="center" w:pos="4677"/>
        <w:tab w:val="right" w:pos="9355"/>
      </w:tabs>
    </w:pPr>
  </w:style>
  <w:style w:type="character" w:customStyle="1" w:styleId="aa">
    <w:name w:val="Верхний колонтитул Знак"/>
    <w:basedOn w:val="a0"/>
    <w:link w:val="a9"/>
    <w:uiPriority w:val="99"/>
    <w:semiHidden/>
    <w:rsid w:val="00D85A38"/>
    <w:rPr>
      <w:rFonts w:ascii="Calibri" w:eastAsia="Calibri" w:hAnsi="Calibri" w:cs="Times New Roman"/>
    </w:rPr>
  </w:style>
  <w:style w:type="table" w:styleId="ab">
    <w:name w:val="Table Grid"/>
    <w:basedOn w:val="a1"/>
    <w:uiPriority w:val="59"/>
    <w:rsid w:val="00AD4D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1348</Words>
  <Characters>7690</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7</cp:revision>
  <dcterms:created xsi:type="dcterms:W3CDTF">2016-09-16T16:47:00Z</dcterms:created>
  <dcterms:modified xsi:type="dcterms:W3CDTF">2016-09-17T08:40:00Z</dcterms:modified>
</cp:coreProperties>
</file>